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06A06" w14:textId="77777777" w:rsidR="009F0C94" w:rsidRPr="000C6912" w:rsidRDefault="00D26B64" w:rsidP="000C6912">
      <w:r>
        <w:rPr>
          <w:noProof/>
        </w:rPr>
        <w:drawing>
          <wp:anchor distT="0" distB="0" distL="114300" distR="114300" simplePos="0" relativeHeight="251653119" behindDoc="0" locked="0" layoutInCell="1" allowOverlap="1" wp14:anchorId="4D6FFE7F" wp14:editId="5C8337B6">
            <wp:simplePos x="0" y="0"/>
            <wp:positionH relativeFrom="page">
              <wp:posOffset>0</wp:posOffset>
            </wp:positionH>
            <wp:positionV relativeFrom="page">
              <wp:posOffset>0</wp:posOffset>
            </wp:positionV>
            <wp:extent cx="10690522" cy="807396"/>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7">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Pr>
          <w:noProof/>
        </w:rPr>
        <w:pict w14:anchorId="30FD1856">
          <v:shapetype id="_x0000_t202" coordsize="21600,21600" o:spt="202" path="m,l,21600r21600,l21600,xe">
            <v:stroke joinstyle="miter"/>
            <v:path gradientshapeok="t" o:connecttype="rect"/>
          </v:shapetype>
          <v:shape id="Text Box 6" o:spid="_x0000_s1027" type="#_x0000_t202" style="position:absolute;left:0;text-align:left;margin-left:187.95pt;margin-top:15.9pt;width:477.9pt;height:4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" filled="f" stroked="f" strokeweight=".5pt">
            <o:lock v:ext="edit" aspectratio="t" verticies="t" text="t" shapetype="t"/>
            <v:textbox>
              <w:txbxContent>
                <w:p w14:paraId="04B32C31" w14:textId="77777777" w:rsidR="000C6912" w:rsidRPr="000C6912" w:rsidRDefault="00D26B64">
                  <w:pPr>
                    <w:rPr>
                      <w:rFonts w:ascii="Roboto" w:hAnsi="Roboto"/>
                      <w:color w:val="FFFFFF" w:themeColor="background1"/>
                      <w:sz w:val="28"/>
                    </w:rPr>
                  </w:pPr>
                  <w:r>
                    <w:rPr>
                      <w:rFonts w:ascii="Roboto" w:hAnsi="Roboto"/>
                      <w:color w:val="FFFFFF" w:themeColor="background1"/>
                      <w:sz w:val="28"/>
                    </w:rPr>
                    <w:t>Subscribe to DeepL Pro to edit this document.</w:t>
                  </w:r>
                  <w:r>
                    <w:br/>
                  </w:r>
                  <w:r>
                    <w:rPr>
                      <w:rFonts w:ascii="Roboto" w:hAnsi="Roboto"/>
                      <w:color w:val="FFFFFF" w:themeColor="background1"/>
                      <w:sz w:val="22"/>
                    </w:rPr>
                    <w:t>Visit www.DeepL.com/Pro for more information.</w:t>
                  </w:r>
                </w:p>
              </w:txbxContent>
            </v:textbox>
            <w10:wrap anchorx="page" anchory="page"/>
          </v:shape>
        </w:pict>
      </w:r>
      <w:r>
        <w:pict w14:anchorId="789B5F33">
          <v:shape id="DeepLBoxSPIDType" o:spid="_x0000_s1026" type="#_x0000_t202" alt="" style="position:absolute;left:0;text-align:left;margin-left:0;margin-top:0;width:50pt;height:50pt;z-index:251660288;visibility:hidden;mso-wrap-edited:f;mso-width-percent:0;mso-height-percent:0;mso-position-horizontal-relative:text;mso-position-vertical-relative:text;mso-width-percent:0;mso-height-percent:0">
            <o:lock v:ext="edit" selection="t"/>
          </v:shape>
        </w:pict>
      </w:r>
    </w:p>
    <w:tbl>
      <w:tblPr>
        <w:tblStyle w:val="TableGrid"/>
        <w:tblW w:w="9059" w:type="dxa"/>
        <w:tblInd w:w="8" w:type="dxa"/>
        <w:tblCellMar>
          <w:top w:w="45" w:type="dxa"/>
          <w:left w:w="108" w:type="dxa"/>
          <w:right w:w="79" w:type="dxa"/>
        </w:tblCellMar>
        <w:tblLook w:val="04A0" w:firstRow="1" w:lastRow="0" w:firstColumn="1" w:lastColumn="0" w:noHBand="0" w:noVBand="1"/>
      </w:tblPr>
      <w:tblGrid>
        <w:gridCol w:w="9059"/>
      </w:tblGrid>
      <w:tr w:rsidR="006F1970" w14:paraId="5FF3FA34" w14:textId="77777777">
        <w:trPr>
          <w:trHeight w:val="766"/>
        </w:trPr>
        <w:tc>
          <w:tcPr>
            <w:tcW w:w="9059" w:type="dxa"/>
            <w:tcBorders>
              <w:top w:val="single" w:sz="4" w:space="0" w:color="000000"/>
              <w:left w:val="single" w:sz="4" w:space="0" w:color="000000"/>
              <w:bottom w:val="single" w:sz="4" w:space="0" w:color="000000"/>
              <w:right w:val="single" w:sz="4" w:space="0" w:color="000000"/>
            </w:tcBorders>
            <w:shd w:val="clear" w:color="auto" w:fill="92D050"/>
          </w:tcPr>
          <w:p w14:paraId="7480405E" w14:textId="77777777" w:rsidR="006F1970" w:rsidRDefault="00FC17F1">
            <w:pPr>
              <w:spacing w:line="259" w:lineRule="auto"/>
              <w:ind w:left="0" w:right="24" w:firstLine="0"/>
              <w:jc w:val="center"/>
            </w:pPr>
            <w:r>
              <w:rPr>
                <w:i/>
                <w:sz w:val="40"/>
              </w:rPr>
              <w:t xml:space="preserve">Administrative consultation report </w:t>
            </w:r>
          </w:p>
          <w:p w14:paraId="77324E55" w14:textId="77777777" w:rsidR="006F1970" w:rsidRDefault="00FC17F1">
            <w:pPr>
              <w:spacing w:line="259" w:lineRule="auto"/>
              <w:ind w:left="0" w:right="29" w:firstLine="0"/>
              <w:jc w:val="center"/>
            </w:pPr>
            <w:r>
              <w:rPr>
                <w:i/>
                <w:sz w:val="22"/>
              </w:rPr>
              <w:t xml:space="preserve">Japan studies </w:t>
            </w:r>
          </w:p>
        </w:tc>
      </w:tr>
      <w:tr w:rsidR="006F1970" w14:paraId="00EA9589" w14:textId="77777777">
        <w:trPr>
          <w:trHeight w:val="277"/>
        </w:trPr>
        <w:tc>
          <w:tcPr>
            <w:tcW w:w="9059" w:type="dxa"/>
            <w:tcBorders>
              <w:top w:val="single" w:sz="4" w:space="0" w:color="000000"/>
              <w:left w:val="single" w:sz="4" w:space="0" w:color="000000"/>
              <w:bottom w:val="single" w:sz="4" w:space="0" w:color="000000"/>
              <w:right w:val="single" w:sz="4" w:space="0" w:color="000000"/>
            </w:tcBorders>
            <w:shd w:val="clear" w:color="auto" w:fill="D6E3BC"/>
          </w:tcPr>
          <w:p w14:paraId="2DD28950" w14:textId="77777777" w:rsidR="006F1970" w:rsidRDefault="00FC17F1">
            <w:pPr>
              <w:spacing w:line="259" w:lineRule="auto"/>
              <w:ind w:left="0" w:right="24" w:firstLine="0"/>
              <w:jc w:val="center"/>
            </w:pPr>
            <w:r>
              <w:rPr>
                <w:sz w:val="22"/>
              </w:rPr>
              <w:t xml:space="preserve">23 May 2019 </w:t>
            </w:r>
          </w:p>
        </w:tc>
      </w:tr>
      <w:tr w:rsidR="006F1970" w14:paraId="7A1A5789" w14:textId="77777777">
        <w:trPr>
          <w:trHeight w:val="256"/>
        </w:trPr>
        <w:tc>
          <w:tcPr>
            <w:tcW w:w="9059" w:type="dxa"/>
            <w:tcBorders>
              <w:top w:val="single" w:sz="4" w:space="0" w:color="000000"/>
              <w:left w:val="single" w:sz="4" w:space="0" w:color="000000"/>
              <w:bottom w:val="single" w:sz="4" w:space="0" w:color="000000"/>
              <w:right w:val="single" w:sz="4" w:space="0" w:color="000000"/>
            </w:tcBorders>
          </w:tcPr>
          <w:p w14:paraId="42776995" w14:textId="77777777" w:rsidR="006F1970" w:rsidRDefault="00FC17F1">
            <w:pPr>
              <w:spacing w:line="259" w:lineRule="auto"/>
              <w:ind w:left="0" w:firstLine="0"/>
            </w:pPr>
            <w:r>
              <w:rPr>
                <w:color w:val="808080"/>
              </w:rPr>
              <w:t xml:space="preserve">Present from the Faculty Board: Egbert Fortune, Olivier Fajgenblat </w:t>
            </w:r>
          </w:p>
        </w:tc>
      </w:tr>
      <w:tr w:rsidR="006F1970" w14:paraId="2B47D123" w14:textId="77777777">
        <w:trPr>
          <w:trHeight w:val="499"/>
        </w:trPr>
        <w:tc>
          <w:tcPr>
            <w:tcW w:w="9059" w:type="dxa"/>
            <w:tcBorders>
              <w:top w:val="single" w:sz="4" w:space="0" w:color="000000"/>
              <w:left w:val="single" w:sz="4" w:space="0" w:color="000000"/>
              <w:bottom w:val="single" w:sz="4" w:space="0" w:color="000000"/>
              <w:right w:val="single" w:sz="4" w:space="0" w:color="000000"/>
            </w:tcBorders>
          </w:tcPr>
          <w:p w14:paraId="5F9D2957" w14:textId="77777777" w:rsidR="006F1970" w:rsidRDefault="00FC17F1">
            <w:pPr>
              <w:spacing w:line="259" w:lineRule="auto"/>
              <w:ind w:left="0" w:firstLine="0"/>
            </w:pPr>
            <w:r>
              <w:rPr>
                <w:color w:val="808080"/>
              </w:rPr>
              <w:t xml:space="preserve">Present from the study programme: Ivo Smits (student), Marte Boonen (study coordinator), Doreen Mueller (teacher-member olc), Iris Dijkstra (student-member and secretary olc). </w:t>
            </w:r>
          </w:p>
        </w:tc>
      </w:tr>
      <w:tr w:rsidR="006F1970" w:rsidRPr="00D87D1B" w14:paraId="0F2313B4" w14:textId="77777777">
        <w:trPr>
          <w:trHeight w:val="254"/>
        </w:trPr>
        <w:tc>
          <w:tcPr>
            <w:tcW w:w="9059" w:type="dxa"/>
            <w:tcBorders>
              <w:top w:val="single" w:sz="4" w:space="0" w:color="000000"/>
              <w:left w:val="single" w:sz="4" w:space="0" w:color="000000"/>
              <w:bottom w:val="single" w:sz="4" w:space="0" w:color="000000"/>
              <w:right w:val="single" w:sz="4" w:space="0" w:color="000000"/>
            </w:tcBorders>
          </w:tcPr>
          <w:p w14:paraId="7D2F0015" w14:textId="77777777" w:rsidR="006F1970" w:rsidRPr="00ED1B9A" w:rsidRDefault="00FC17F1">
            <w:pPr>
              <w:spacing w:line="259" w:lineRule="auto"/>
              <w:ind w:left="0" w:firstLine="0"/>
            </w:pPr>
            <w:r w:rsidRPr="00ED1B9A">
              <w:rPr>
                <w:color w:val="808080"/>
              </w:rPr>
              <w:t xml:space="preserve">Present for reporting: Aurelie van 't Slot (O&amp;K) </w:t>
            </w:r>
          </w:p>
        </w:tc>
      </w:tr>
    </w:tbl>
    <w:p w14:paraId="4FB78D6C" w14:textId="77777777" w:rsidR="006F1970" w:rsidRPr="00ED1B9A" w:rsidRDefault="00FC17F1">
      <w:pPr>
        <w:spacing w:after="5" w:line="259" w:lineRule="auto"/>
        <w:ind w:left="1066" w:firstLine="0"/>
      </w:pPr>
      <w:r w:rsidRPr="00ED1B9A">
        <w:rPr>
          <w:rFonts w:ascii="Times New Roman" w:eastAsia="Times New Roman" w:hAnsi="Times New Roman" w:cs="Times New Roman"/>
          <w:b/>
          <w:sz w:val="22"/>
        </w:rPr>
        <w:t xml:space="preserve"> </w:t>
      </w:r>
    </w:p>
    <w:p w14:paraId="4FB94871" w14:textId="77777777" w:rsidR="006F1970" w:rsidRPr="00ED1B9A" w:rsidRDefault="00FC17F1">
      <w:pPr>
        <w:spacing w:line="259" w:lineRule="auto"/>
        <w:ind w:left="1066" w:firstLine="0"/>
      </w:pPr>
      <w:r w:rsidRPr="00ED1B9A">
        <w:rPr>
          <w:rFonts w:ascii="Times New Roman" w:eastAsia="Times New Roman" w:hAnsi="Times New Roman" w:cs="Times New Roman"/>
          <w:b/>
          <w:sz w:val="22"/>
        </w:rPr>
        <w:t xml:space="preserve"> </w:t>
      </w:r>
    </w:p>
    <w:p w14:paraId="121CF996" w14:textId="77777777" w:rsidR="006F1970" w:rsidRDefault="00FC17F1">
      <w:pPr>
        <w:pStyle w:val="berschrift1"/>
        <w:ind w:left="1067" w:hanging="706"/>
      </w:pPr>
      <w:r>
        <w:t xml:space="preserve">Opening </w:t>
      </w:r>
    </w:p>
    <w:p w14:paraId="7C9F9D7F" w14:textId="77777777" w:rsidR="006F1970" w:rsidRDefault="00FC17F1">
      <w:pPr>
        <w:spacing w:line="259" w:lineRule="auto"/>
        <w:ind w:left="1" w:firstLine="0"/>
      </w:pPr>
      <w:r>
        <w:t xml:space="preserve"> </w:t>
      </w:r>
    </w:p>
    <w:p w14:paraId="1269FF36" w14:textId="77777777" w:rsidR="006F1970" w:rsidRPr="00ED1B9A" w:rsidRDefault="00FC17F1">
      <w:pPr>
        <w:ind w:left="-4"/>
      </w:pPr>
      <w:r w:rsidRPr="00ED1B9A">
        <w:t xml:space="preserve">The vice-dean opens the meeting and notes that the student member of the study programme board is not present. The programme chairman knew that he had to invite the student-member. This was not clearly stated in the invitation. OSZ/O&amp;K promised to adjust this. </w:t>
      </w:r>
    </w:p>
    <w:p w14:paraId="077067A7" w14:textId="77777777" w:rsidR="006F1970" w:rsidRPr="00ED1B9A" w:rsidRDefault="00FC17F1">
      <w:pPr>
        <w:spacing w:line="259" w:lineRule="auto"/>
        <w:ind w:left="1" w:firstLine="0"/>
      </w:pPr>
      <w:r w:rsidRPr="00ED1B9A">
        <w:t xml:space="preserve"> </w:t>
      </w:r>
    </w:p>
    <w:p w14:paraId="7E452B82" w14:textId="77777777" w:rsidR="006F1970" w:rsidRDefault="00FC17F1">
      <w:pPr>
        <w:tabs>
          <w:tab w:val="center" w:pos="438"/>
          <w:tab w:val="center" w:pos="3031"/>
        </w:tabs>
        <w:spacing w:after="230" w:line="250" w:lineRule="auto"/>
        <w:ind w:left="0" w:firstLine="0"/>
      </w:pPr>
      <w:r w:rsidRPr="00ED1B9A">
        <w:rPr>
          <w:sz w:val="22"/>
        </w:rPr>
        <w:tab/>
      </w:r>
      <w:r>
        <w:rPr>
          <w:b/>
        </w:rPr>
        <w:t xml:space="preserve">2. </w:t>
      </w:r>
      <w:r>
        <w:rPr>
          <w:rFonts w:ascii="Arial" w:eastAsia="Arial" w:hAnsi="Arial" w:cs="Arial"/>
          <w:b/>
        </w:rPr>
        <w:tab/>
      </w:r>
      <w:r>
        <w:rPr>
          <w:b/>
        </w:rPr>
        <w:t xml:space="preserve">Follow-up of recommendations mid-term review 2016 </w:t>
      </w:r>
    </w:p>
    <w:p w14:paraId="3EA3231F" w14:textId="77777777" w:rsidR="006F1970" w:rsidRDefault="00FC17F1">
      <w:pPr>
        <w:pStyle w:val="berschrift1"/>
        <w:numPr>
          <w:ilvl w:val="0"/>
          <w:numId w:val="0"/>
        </w:numPr>
        <w:ind w:left="-4"/>
      </w:pPr>
      <w:r>
        <w:t xml:space="preserve">Academic skills </w:t>
      </w:r>
    </w:p>
    <w:p w14:paraId="138730B5" w14:textId="77777777" w:rsidR="006F1970" w:rsidRPr="00ED1B9A" w:rsidRDefault="00FC17F1">
      <w:pPr>
        <w:spacing w:after="254"/>
        <w:ind w:left="-4"/>
      </w:pPr>
      <w:r>
        <w:t xml:space="preserve">The mid-term review committee recommended that a clear learning line of academic skills be drawn up. In its plan of approach, the programme indicated that it did not agree with the committee's assessment, because the learning lines had already been elaborated and made explicit. </w:t>
      </w:r>
      <w:r w:rsidRPr="00ED1B9A">
        <w:t xml:space="preserve">However, the programme does indicate that academic skills could be better brought to the attention of students. </w:t>
      </w:r>
      <w:r>
        <w:t xml:space="preserve">This should also have been included as an action point in the programme's annual report. </w:t>
      </w:r>
      <w:r w:rsidRPr="00ED1B9A">
        <w:t xml:space="preserve">The programme is currently considering how to redesign the subject 'Academic skills' in year 1. For the purpose of this re-evaluation operation, the Programme Committee is drawing up a report containing students' expectations for this subject. </w:t>
      </w:r>
    </w:p>
    <w:p w14:paraId="44645E6E" w14:textId="77777777" w:rsidR="006F1970" w:rsidRDefault="00FC17F1">
      <w:pPr>
        <w:spacing w:after="230" w:line="250" w:lineRule="auto"/>
        <w:ind w:left="1067" w:hanging="706"/>
      </w:pPr>
      <w:r>
        <w:rPr>
          <w:b/>
        </w:rPr>
        <w:t xml:space="preserve">3. </w:t>
      </w:r>
      <w:r>
        <w:rPr>
          <w:rFonts w:ascii="Arial" w:eastAsia="Arial" w:hAnsi="Arial" w:cs="Arial"/>
          <w:b/>
        </w:rPr>
        <w:tab/>
      </w:r>
      <w:r>
        <w:rPr>
          <w:b/>
        </w:rPr>
        <w:t xml:space="preserve">Points for discussion following the 2017-18 training annual report, 2017-18 training annual card and NSE 2018 training annual card </w:t>
      </w:r>
    </w:p>
    <w:p w14:paraId="59877129" w14:textId="77777777" w:rsidR="006F1970" w:rsidRDefault="00FC17F1">
      <w:pPr>
        <w:pStyle w:val="berschrift1"/>
        <w:numPr>
          <w:ilvl w:val="0"/>
          <w:numId w:val="0"/>
        </w:numPr>
        <w:ind w:left="-4"/>
      </w:pPr>
      <w:r>
        <w:t xml:space="preserve">Special needs' students </w:t>
      </w:r>
    </w:p>
    <w:p w14:paraId="3C0D0B82" w14:textId="77777777" w:rsidR="006F1970" w:rsidRPr="00ED1B9A" w:rsidRDefault="00FC17F1">
      <w:pPr>
        <w:ind w:left="-4"/>
      </w:pPr>
      <w:r>
        <w:t xml:space="preserve">The programme has a disproportionate number of students with 'special needs'. </w:t>
      </w:r>
      <w:r w:rsidRPr="00ED1B9A">
        <w:t xml:space="preserve">The study coordinator always tries to refer these students to the right (university) services, but is of the opinion that the assistance provided by these services sometimes falls short. The study coordinator also tries to encourage students to seek professional help. Often students are then faced with a waiting period of several months. </w:t>
      </w:r>
    </w:p>
    <w:p w14:paraId="5B7F5D5B" w14:textId="77777777" w:rsidR="006F1970" w:rsidRPr="00ED1B9A" w:rsidRDefault="00FC17F1">
      <w:pPr>
        <w:spacing w:line="259" w:lineRule="auto"/>
        <w:ind w:left="1" w:firstLine="0"/>
      </w:pPr>
      <w:r w:rsidRPr="00ED1B9A">
        <w:t xml:space="preserve"> </w:t>
      </w:r>
    </w:p>
    <w:p w14:paraId="402D51D0" w14:textId="77777777" w:rsidR="006F1970" w:rsidRPr="00ED1B9A" w:rsidRDefault="00FC17F1">
      <w:pPr>
        <w:ind w:left="-4"/>
      </w:pPr>
      <w:r w:rsidRPr="00ED1B9A">
        <w:t xml:space="preserve">The training has a low rate of return. The study coordinator has made an inventory of the possible causes of study delays. This inventory showed that 1/3 of the student population suffers from personal circumstances. The vice-dean indicates that research by the faculty has shown that there is a direct correlation between 'special needs' students and returns. The programme could consider taking part in compulsory matchmaking activities, with which it can create the right expectations among potential students. However, matching cannot stop students from starting the programme. </w:t>
      </w:r>
    </w:p>
    <w:p w14:paraId="25A865AA" w14:textId="77777777" w:rsidR="006F1970" w:rsidRPr="00ED1B9A" w:rsidRDefault="00FC17F1">
      <w:pPr>
        <w:spacing w:line="259" w:lineRule="auto"/>
        <w:ind w:left="0" w:firstLine="0"/>
      </w:pPr>
      <w:r w:rsidRPr="00ED1B9A">
        <w:t xml:space="preserve"> </w:t>
      </w:r>
    </w:p>
    <w:p w14:paraId="48510113" w14:textId="77777777" w:rsidR="006F1970" w:rsidRPr="00ED1B9A" w:rsidRDefault="00FC17F1">
      <w:pPr>
        <w:spacing w:line="242" w:lineRule="auto"/>
        <w:ind w:left="1" w:firstLine="0"/>
      </w:pPr>
      <w:r w:rsidRPr="00ED1B9A">
        <w:rPr>
          <w:u w:val="single" w:color="000000"/>
        </w:rPr>
        <w:t xml:space="preserve">Action point: R&amp;K examines whether there are staff within the university with expertise in the field of 'special needs' students who can advise on matching/choice of study. </w:t>
      </w:r>
    </w:p>
    <w:p w14:paraId="66A31955" w14:textId="77777777" w:rsidR="006F1970" w:rsidRPr="00ED1B9A" w:rsidRDefault="00FC17F1">
      <w:pPr>
        <w:spacing w:line="259" w:lineRule="auto"/>
        <w:ind w:left="1" w:firstLine="0"/>
      </w:pPr>
      <w:r w:rsidRPr="00ED1B9A">
        <w:rPr>
          <w:i/>
        </w:rPr>
        <w:t xml:space="preserve"> </w:t>
      </w:r>
    </w:p>
    <w:p w14:paraId="1A0FAD25" w14:textId="77777777" w:rsidR="006F1970" w:rsidRPr="00ED1B9A" w:rsidRDefault="00FC17F1">
      <w:pPr>
        <w:pStyle w:val="berschrift1"/>
        <w:numPr>
          <w:ilvl w:val="0"/>
          <w:numId w:val="0"/>
        </w:numPr>
        <w:ind w:left="-4"/>
      </w:pPr>
      <w:r w:rsidRPr="00ED1B9A">
        <w:t xml:space="preserve">Labour market preparation </w:t>
      </w:r>
    </w:p>
    <w:p w14:paraId="6672210E" w14:textId="77777777" w:rsidR="006F1970" w:rsidRDefault="00FC17F1">
      <w:pPr>
        <w:ind w:left="-4"/>
      </w:pPr>
      <w:r w:rsidRPr="00ED1B9A">
        <w:t xml:space="preserve">The training has taken relatively more measures for labour market preparation than other training. However, this effort is not reflected in the NSE results. </w:t>
      </w:r>
      <w:r>
        <w:t xml:space="preserve">The vice-dean notes that the same problem occurred with the bachelor's degree in International Studies. This programme investigated why this was the case and concluded that all information relating to labour market preparation should be in one place. The chairman of the programme indicated that the Japan Studies programme had included a separate tab 'labour market preparation' in the e-Sudy Guide for the past six months. </w:t>
      </w:r>
    </w:p>
    <w:p w14:paraId="436B1444" w14:textId="77777777" w:rsidR="006F1970" w:rsidRDefault="00FC17F1">
      <w:pPr>
        <w:spacing w:line="259" w:lineRule="auto"/>
        <w:ind w:left="1" w:firstLine="0"/>
      </w:pPr>
      <w:r>
        <w:lastRenderedPageBreak/>
        <w:t xml:space="preserve"> </w:t>
      </w:r>
    </w:p>
    <w:p w14:paraId="7DF54A0B" w14:textId="77777777" w:rsidR="006F1970" w:rsidRDefault="00FC17F1">
      <w:pPr>
        <w:ind w:left="-4"/>
      </w:pPr>
      <w:r>
        <w:t xml:space="preserve">Most of the activities that the training organises require a certain level of Japanese language proficiency. In the spring, the training organised a general workshop in cooperation with the Career Service, with no emphasis on language skills. This workshop was well received by students. </w:t>
      </w:r>
    </w:p>
    <w:p w14:paraId="462683ED" w14:textId="77777777" w:rsidR="006F1970" w:rsidRDefault="00FC17F1">
      <w:pPr>
        <w:spacing w:line="259" w:lineRule="auto"/>
        <w:ind w:left="1" w:firstLine="0"/>
      </w:pPr>
      <w:r>
        <w:rPr>
          <w:i/>
        </w:rPr>
        <w:t xml:space="preserve"> </w:t>
      </w:r>
    </w:p>
    <w:p w14:paraId="4EA005B8" w14:textId="77777777" w:rsidR="006F1970" w:rsidRDefault="00FC17F1">
      <w:pPr>
        <w:pStyle w:val="berschrift1"/>
        <w:numPr>
          <w:ilvl w:val="0"/>
          <w:numId w:val="0"/>
        </w:numPr>
        <w:ind w:left="-4"/>
      </w:pPr>
      <w:r>
        <w:t xml:space="preserve">Propedeuse and failure </w:t>
      </w:r>
    </w:p>
    <w:p w14:paraId="6C084FE3" w14:textId="77777777" w:rsidR="006F1970" w:rsidRPr="00ED1B9A" w:rsidRDefault="00FC17F1">
      <w:pPr>
        <w:ind w:left="-4"/>
      </w:pPr>
      <w:r>
        <w:t xml:space="preserve">The percentage of students who obtained 60 EC in the first year fell by 10%. Furthermore, the drop-out rate in 2017-2018 has also increased by 8%. </w:t>
      </w:r>
      <w:r w:rsidRPr="00ED1B9A">
        <w:t xml:space="preserve">The programme chairman indicates that these figures are not easy to explain. The first year of the programme is not radically different. Previously, the subject 'Academic skills' was a compulsory subject for the BSA. </w:t>
      </w:r>
      <w:r>
        <w:t xml:space="preserve">It has now been replaced by 'Japan in the 21st Century: Sociological Perspectives'. </w:t>
      </w:r>
      <w:r w:rsidRPr="00ED1B9A">
        <w:t xml:space="preserve">The study coordinator adds that three students did not pass this course and therefore received a negative BSA. Another explanation suggested is that in some years there is a real cohort spirit, while in other years this is less. </w:t>
      </w:r>
    </w:p>
    <w:p w14:paraId="15EDB4D3" w14:textId="77777777" w:rsidR="006F1970" w:rsidRPr="00ED1B9A" w:rsidRDefault="00FC17F1">
      <w:pPr>
        <w:spacing w:line="259" w:lineRule="auto"/>
        <w:ind w:left="0" w:firstLine="0"/>
      </w:pPr>
      <w:r w:rsidRPr="00ED1B9A">
        <w:t xml:space="preserve"> </w:t>
      </w:r>
    </w:p>
    <w:p w14:paraId="5B3EB1C8" w14:textId="77777777" w:rsidR="006F1970" w:rsidRDefault="00FC17F1">
      <w:pPr>
        <w:pStyle w:val="berschrift1"/>
        <w:numPr>
          <w:ilvl w:val="0"/>
          <w:numId w:val="0"/>
        </w:numPr>
        <w:ind w:left="-4"/>
      </w:pPr>
      <w:r>
        <w:t xml:space="preserve">Functioning OLC </w:t>
      </w:r>
    </w:p>
    <w:p w14:paraId="0F37292A" w14:textId="77777777" w:rsidR="006F1970" w:rsidRDefault="00FC17F1">
      <w:pPr>
        <w:spacing w:after="232"/>
        <w:ind w:left="-4"/>
      </w:pPr>
      <w:r>
        <w:t xml:space="preserve">The assessor asks how students are currently informed about the results of educational evaluations. The representatives of the Programme Committee explain that all evaluation results are discussed and that they draw up a report for the Programme Board on the basis of this discussion. Subsequently, however, it is unclear who should feed back the results to students. The Programme Committee has its own blackboard page, but only three students are members. According to the vice-dean, it should be possible to enrol all students automatically. He advises the Programme Committee to make internal agreements with regard to feedback. </w:t>
      </w:r>
    </w:p>
    <w:p w14:paraId="5232EC20" w14:textId="77777777" w:rsidR="006F1970" w:rsidRDefault="00FC17F1">
      <w:pPr>
        <w:spacing w:after="285"/>
        <w:ind w:left="-4"/>
      </w:pPr>
      <w:r>
        <w:t xml:space="preserve">In general, the education committee is very satisfied with its functioning. It prefers not to talk about complaints, but about feedback. Since last year, an informal approach has been adopted which the current members would like to continue. The Programme Committee is well aware of its new position and indicates that the information provided by the faculty is adequate. The student members followed the faculty training(s) and found this information useful. The members present are not familiar with the Handbook for Programme Committees. If desired, this can be sent by O&amp;K. </w:t>
      </w:r>
    </w:p>
    <w:p w14:paraId="0699667D" w14:textId="77777777" w:rsidR="006F1970" w:rsidRDefault="00FC17F1">
      <w:pPr>
        <w:tabs>
          <w:tab w:val="center" w:pos="436"/>
          <w:tab w:val="center" w:pos="1337"/>
        </w:tabs>
        <w:spacing w:after="244" w:line="250" w:lineRule="auto"/>
        <w:ind w:left="0" w:firstLine="0"/>
      </w:pPr>
      <w:r>
        <w:rPr>
          <w:sz w:val="22"/>
        </w:rPr>
        <w:tab/>
      </w:r>
      <w:r>
        <w:rPr>
          <w:rFonts w:ascii="Times New Roman" w:eastAsia="Times New Roman" w:hAnsi="Times New Roman" w:cs="Times New Roman"/>
          <w:b/>
        </w:rPr>
        <w:t xml:space="preserve">4. </w:t>
      </w:r>
      <w:r>
        <w:rPr>
          <w:rFonts w:ascii="Arial" w:eastAsia="Arial" w:hAnsi="Arial" w:cs="Arial"/>
          <w:b/>
        </w:rPr>
        <w:tab/>
      </w:r>
      <w:r>
        <w:rPr>
          <w:b/>
        </w:rPr>
        <w:t xml:space="preserve">Miscellaneous </w:t>
      </w:r>
    </w:p>
    <w:p w14:paraId="45FD7B3D" w14:textId="77777777" w:rsidR="006F1970" w:rsidRDefault="00FC17F1">
      <w:pPr>
        <w:pStyle w:val="berschrift1"/>
        <w:numPr>
          <w:ilvl w:val="0"/>
          <w:numId w:val="0"/>
        </w:numPr>
        <w:ind w:left="-4"/>
      </w:pPr>
      <w:r>
        <w:t xml:space="preserve">Transition from second year of study to third year of study </w:t>
      </w:r>
    </w:p>
    <w:p w14:paraId="286DA4FC" w14:textId="77777777" w:rsidR="006F1970" w:rsidRDefault="00FC17F1">
      <w:pPr>
        <w:spacing w:after="30"/>
        <w:ind w:left="-4"/>
      </w:pPr>
      <w:r>
        <w:t xml:space="preserve">The transition from the second to the third year of study remains a bottleneck for the programme. The programme has been discussing ways to improve the transition from the second to the third year of study for a year and a half. The programme has put its plans for the present on hold for two reasons: (1) the approaching visitation in the autumn, and (2) the faculty's programme standards. The latter in particular means that plans made earlier are no longer feasible. The programme therefore wants to wait and see what concrete implications the programme standards will have. </w:t>
      </w:r>
    </w:p>
    <w:p w14:paraId="115F1883" w14:textId="77777777" w:rsidR="006F1970" w:rsidRDefault="00FC17F1">
      <w:pPr>
        <w:spacing w:after="18" w:line="259" w:lineRule="auto"/>
        <w:ind w:left="0" w:firstLine="0"/>
      </w:pPr>
      <w:r>
        <w:t xml:space="preserve"> </w:t>
      </w:r>
    </w:p>
    <w:p w14:paraId="083C1F94" w14:textId="77777777" w:rsidR="006F1970" w:rsidRDefault="00FC17F1">
      <w:pPr>
        <w:spacing w:after="229"/>
        <w:ind w:left="-4"/>
      </w:pPr>
      <w:r>
        <w:t xml:space="preserve">The vice-dean notes that the training chairman is a member of the sounding board group on programme standards. He suggests that in this role the training chair also continues to emphasise the perspectives on content. In addition, the issue of the transition between the second and third academic year can also be discussed with the Review Committee during the development discussion. </w:t>
      </w:r>
    </w:p>
    <w:p w14:paraId="059416E8" w14:textId="77777777" w:rsidR="006F1970" w:rsidRDefault="00FC17F1">
      <w:pPr>
        <w:pStyle w:val="berschrift1"/>
        <w:numPr>
          <w:ilvl w:val="0"/>
          <w:numId w:val="0"/>
        </w:numPr>
        <w:ind w:left="-4"/>
      </w:pPr>
      <w:r>
        <w:t xml:space="preserve">Wide-ranging Bachelor's degree in Asia Studies </w:t>
      </w:r>
    </w:p>
    <w:p w14:paraId="1D3F8738" w14:textId="77777777" w:rsidR="006F1970" w:rsidRDefault="00FC17F1">
      <w:pPr>
        <w:spacing w:after="197"/>
        <w:ind w:left="-4"/>
      </w:pPr>
      <w:r>
        <w:t xml:space="preserve">The plans for a broad Bachelor of Asia studies were discussed within the programme on 2 May 2019. The general feeling is that there is no opposition to discussing the idea and that this institute-wide should be a point of discussion. This means that other programmes should also be consulted. The study coordinator indicates that this is a bottom-up initiative from the academic staff. The support staff is not (yet) involved in this. </w:t>
      </w:r>
    </w:p>
    <w:p w14:paraId="29332704" w14:textId="77777777" w:rsidR="006F1970" w:rsidRDefault="00FC17F1">
      <w:pPr>
        <w:spacing w:line="259" w:lineRule="auto"/>
        <w:ind w:left="0" w:firstLine="0"/>
      </w:pPr>
      <w:r>
        <w:rPr>
          <w:b/>
        </w:rPr>
        <w:t xml:space="preserve"> </w:t>
      </w:r>
    </w:p>
    <w:p w14:paraId="2A6C9CB8" w14:textId="77777777" w:rsidR="006F1970" w:rsidRDefault="00FC17F1">
      <w:pPr>
        <w:spacing w:line="259" w:lineRule="auto"/>
        <w:ind w:left="0" w:firstLine="0"/>
      </w:pPr>
      <w:r>
        <w:rPr>
          <w:b/>
        </w:rPr>
        <w:t xml:space="preserve"> </w:t>
      </w:r>
    </w:p>
    <w:p w14:paraId="23C517A3" w14:textId="77777777" w:rsidR="006F1970" w:rsidRDefault="00FC17F1">
      <w:pPr>
        <w:spacing w:line="259" w:lineRule="auto"/>
        <w:ind w:left="0" w:firstLine="0"/>
      </w:pPr>
      <w:r>
        <w:rPr>
          <w:b/>
        </w:rPr>
        <w:t xml:space="preserve"> </w:t>
      </w:r>
    </w:p>
    <w:p w14:paraId="5B28850E" w14:textId="77777777" w:rsidR="006F1970" w:rsidRDefault="00FC17F1">
      <w:pPr>
        <w:pStyle w:val="berschrift1"/>
        <w:numPr>
          <w:ilvl w:val="0"/>
          <w:numId w:val="0"/>
        </w:numPr>
        <w:ind w:left="-4"/>
      </w:pPr>
      <w:r>
        <w:lastRenderedPageBreak/>
        <w:t xml:space="preserve">Action points </w:t>
      </w:r>
    </w:p>
    <w:p w14:paraId="3C8556CF" w14:textId="77777777" w:rsidR="006F1970" w:rsidRDefault="00FC17F1">
      <w:pPr>
        <w:spacing w:line="259" w:lineRule="auto"/>
        <w:ind w:left="1" w:firstLine="0"/>
      </w:pPr>
      <w:r>
        <w:t xml:space="preserve"> </w:t>
      </w:r>
    </w:p>
    <w:tbl>
      <w:tblPr>
        <w:tblStyle w:val="TableGrid"/>
        <w:tblW w:w="9754" w:type="dxa"/>
        <w:tblInd w:w="113" w:type="dxa"/>
        <w:tblCellMar>
          <w:top w:w="127" w:type="dxa"/>
          <w:left w:w="82" w:type="dxa"/>
          <w:right w:w="115" w:type="dxa"/>
        </w:tblCellMar>
        <w:tblLook w:val="04A0" w:firstRow="1" w:lastRow="0" w:firstColumn="1" w:lastColumn="0" w:noHBand="0" w:noVBand="1"/>
      </w:tblPr>
      <w:tblGrid>
        <w:gridCol w:w="629"/>
        <w:gridCol w:w="7565"/>
        <w:gridCol w:w="1560"/>
      </w:tblGrid>
      <w:tr w:rsidR="006F1970" w14:paraId="59E91F2C" w14:textId="77777777">
        <w:trPr>
          <w:trHeight w:val="650"/>
        </w:trPr>
        <w:tc>
          <w:tcPr>
            <w:tcW w:w="629" w:type="dxa"/>
            <w:tcBorders>
              <w:top w:val="single" w:sz="4" w:space="0" w:color="000000"/>
              <w:left w:val="single" w:sz="4" w:space="0" w:color="000000"/>
              <w:bottom w:val="single" w:sz="4" w:space="0" w:color="000000"/>
              <w:right w:val="single" w:sz="4" w:space="0" w:color="000000"/>
            </w:tcBorders>
          </w:tcPr>
          <w:p w14:paraId="62600C2D" w14:textId="77777777" w:rsidR="006F1970" w:rsidRDefault="00FC17F1">
            <w:pPr>
              <w:spacing w:line="259" w:lineRule="auto"/>
              <w:ind w:left="0" w:firstLine="0"/>
            </w:pPr>
            <w:r>
              <w:t xml:space="preserve"> </w:t>
            </w:r>
          </w:p>
        </w:tc>
        <w:tc>
          <w:tcPr>
            <w:tcW w:w="7565" w:type="dxa"/>
            <w:tcBorders>
              <w:top w:val="single" w:sz="4" w:space="0" w:color="000000"/>
              <w:left w:val="single" w:sz="4" w:space="0" w:color="000000"/>
              <w:bottom w:val="single" w:sz="4" w:space="0" w:color="000000"/>
              <w:right w:val="single" w:sz="4" w:space="0" w:color="000000"/>
            </w:tcBorders>
          </w:tcPr>
          <w:p w14:paraId="19C01768" w14:textId="77777777" w:rsidR="006F1970" w:rsidRDefault="00FC17F1">
            <w:pPr>
              <w:spacing w:line="259" w:lineRule="auto"/>
              <w:ind w:left="0" w:firstLine="0"/>
            </w:pPr>
            <w:r>
              <w:t xml:space="preserve">What </w:t>
            </w:r>
          </w:p>
        </w:tc>
        <w:tc>
          <w:tcPr>
            <w:tcW w:w="1560" w:type="dxa"/>
            <w:tcBorders>
              <w:top w:val="single" w:sz="4" w:space="0" w:color="000000"/>
              <w:left w:val="single" w:sz="4" w:space="0" w:color="000000"/>
              <w:bottom w:val="single" w:sz="4" w:space="0" w:color="000000"/>
              <w:right w:val="single" w:sz="4" w:space="0" w:color="000000"/>
            </w:tcBorders>
          </w:tcPr>
          <w:p w14:paraId="794EAA53" w14:textId="77777777" w:rsidR="006F1970" w:rsidRDefault="00FC17F1">
            <w:pPr>
              <w:spacing w:line="259" w:lineRule="auto"/>
              <w:ind w:left="0" w:firstLine="0"/>
            </w:pPr>
            <w:r>
              <w:t xml:space="preserve">Who </w:t>
            </w:r>
          </w:p>
        </w:tc>
      </w:tr>
      <w:tr w:rsidR="006F1970" w14:paraId="3E4DF9BB" w14:textId="77777777">
        <w:trPr>
          <w:trHeight w:val="658"/>
        </w:trPr>
        <w:tc>
          <w:tcPr>
            <w:tcW w:w="629" w:type="dxa"/>
            <w:tcBorders>
              <w:top w:val="single" w:sz="4" w:space="0" w:color="000000"/>
              <w:left w:val="single" w:sz="4" w:space="0" w:color="000000"/>
              <w:bottom w:val="single" w:sz="4" w:space="0" w:color="000000"/>
              <w:right w:val="single" w:sz="4" w:space="0" w:color="000000"/>
            </w:tcBorders>
          </w:tcPr>
          <w:p w14:paraId="5F5DBFE9" w14:textId="77777777" w:rsidR="006F1970" w:rsidRDefault="00FC17F1">
            <w:pPr>
              <w:spacing w:line="259" w:lineRule="auto"/>
              <w:ind w:left="0" w:firstLine="0"/>
            </w:pPr>
            <w:r>
              <w:t xml:space="preserve">1 </w:t>
            </w:r>
          </w:p>
        </w:tc>
        <w:tc>
          <w:tcPr>
            <w:tcW w:w="7565" w:type="dxa"/>
            <w:tcBorders>
              <w:top w:val="single" w:sz="4" w:space="0" w:color="000000"/>
              <w:left w:val="single" w:sz="4" w:space="0" w:color="000000"/>
              <w:bottom w:val="single" w:sz="4" w:space="0" w:color="000000"/>
              <w:right w:val="single" w:sz="4" w:space="0" w:color="000000"/>
            </w:tcBorders>
          </w:tcPr>
          <w:p w14:paraId="2A984130" w14:textId="77777777" w:rsidR="006F1970" w:rsidRDefault="00FC17F1">
            <w:pPr>
              <w:spacing w:line="259" w:lineRule="auto"/>
              <w:ind w:left="0" w:firstLine="0"/>
            </w:pPr>
            <w:r>
              <w:t xml:space="preserve">O&amp;K checks whether there are any staff within the university with expertise in the field of 'special needs' students who can advise on matching/choice of study. </w:t>
            </w:r>
          </w:p>
        </w:tc>
        <w:tc>
          <w:tcPr>
            <w:tcW w:w="1560" w:type="dxa"/>
            <w:tcBorders>
              <w:top w:val="single" w:sz="4" w:space="0" w:color="000000"/>
              <w:left w:val="single" w:sz="4" w:space="0" w:color="000000"/>
              <w:bottom w:val="single" w:sz="4" w:space="0" w:color="000000"/>
              <w:right w:val="single" w:sz="4" w:space="0" w:color="000000"/>
            </w:tcBorders>
          </w:tcPr>
          <w:p w14:paraId="2E09855D" w14:textId="77777777" w:rsidR="006F1970" w:rsidRDefault="00FC17F1">
            <w:pPr>
              <w:spacing w:line="259" w:lineRule="auto"/>
              <w:ind w:left="0" w:firstLine="0"/>
            </w:pPr>
            <w:r>
              <w:t xml:space="preserve">R&amp;D </w:t>
            </w:r>
          </w:p>
        </w:tc>
      </w:tr>
    </w:tbl>
    <w:p w14:paraId="50725692" w14:textId="77777777" w:rsidR="006F1970" w:rsidRDefault="00FC17F1">
      <w:pPr>
        <w:spacing w:line="259" w:lineRule="auto"/>
        <w:ind w:left="1" w:firstLine="0"/>
      </w:pPr>
      <w:r>
        <w:rPr>
          <w:b/>
        </w:rPr>
        <w:t xml:space="preserve"> </w:t>
      </w:r>
    </w:p>
    <w:sectPr w:rsidR="006F1970">
      <w:footerReference w:type="even" r:id="rId8"/>
      <w:footerReference w:type="default" r:id="rId9"/>
      <w:footerReference w:type="first" r:id="rId10"/>
      <w:pgSz w:w="11906" w:h="16838"/>
      <w:pgMar w:top="1423" w:right="1427" w:bottom="1485" w:left="1415"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C05F6" w14:textId="77777777" w:rsidR="00D26B64" w:rsidRDefault="00D26B64">
      <w:pPr>
        <w:spacing w:line="240" w:lineRule="auto"/>
      </w:pPr>
      <w:r>
        <w:separator/>
      </w:r>
    </w:p>
  </w:endnote>
  <w:endnote w:type="continuationSeparator" w:id="0">
    <w:p w14:paraId="7257E13D" w14:textId="77777777" w:rsidR="00D26B64" w:rsidRDefault="00D26B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Roboto">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3B6FC" w14:textId="77777777" w:rsidR="006F1970" w:rsidRDefault="00FC17F1">
    <w:pPr>
      <w:spacing w:line="259" w:lineRule="auto"/>
      <w:ind w:left="0" w:right="-10" w:firstLine="0"/>
      <w:jc w:val="right"/>
    </w:pPr>
    <w:r>
      <w:fldChar w:fldCharType="begin"/>
    </w:r>
    <w:r>
      <w:instrText xml:space="preserve"> PAGE   \* MERGEFORMAT </w:instrText>
    </w:r>
    <w:r>
      <w:fldChar w:fldCharType="separate"/>
    </w:r>
    <w:r>
      <w:rPr>
        <w:sz w:val="22"/>
      </w:rPr>
      <w:t xml:space="preserve">1 </w:t>
    </w:r>
    <w:r>
      <w:rPr>
        <w:sz w:val="22"/>
      </w:rPr>
      <w:fldChar w:fldCharType="end"/>
    </w:r>
  </w:p>
  <w:p w14:paraId="1F7F9C11" w14:textId="77777777" w:rsidR="006F1970" w:rsidRDefault="00FC17F1">
    <w:pPr>
      <w:spacing w:line="259" w:lineRule="auto"/>
      <w:ind w:left="1"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DE4F" w14:textId="77777777" w:rsidR="006F1970" w:rsidRDefault="00FC17F1">
    <w:pPr>
      <w:spacing w:line="259" w:lineRule="auto"/>
      <w:ind w:left="0" w:right="-10" w:firstLine="0"/>
      <w:jc w:val="right"/>
    </w:pPr>
    <w:r>
      <w:fldChar w:fldCharType="begin"/>
    </w:r>
    <w:r>
      <w:instrText xml:space="preserve"> PAGE   \* MERGEFORMAT </w:instrText>
    </w:r>
    <w:r>
      <w:fldChar w:fldCharType="separate"/>
    </w:r>
    <w:r>
      <w:rPr>
        <w:sz w:val="22"/>
      </w:rPr>
      <w:t xml:space="preserve">1 </w:t>
    </w:r>
    <w:r>
      <w:rPr>
        <w:sz w:val="22"/>
      </w:rPr>
      <w:fldChar w:fldCharType="end"/>
    </w:r>
  </w:p>
  <w:p w14:paraId="720F47D9" w14:textId="77777777" w:rsidR="006F1970" w:rsidRDefault="00FC17F1">
    <w:pPr>
      <w:spacing w:line="259" w:lineRule="auto"/>
      <w:ind w:left="1"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04ECF" w14:textId="77777777" w:rsidR="006F1970" w:rsidRDefault="00FC17F1">
    <w:pPr>
      <w:spacing w:line="259" w:lineRule="auto"/>
      <w:ind w:left="0" w:right="-10" w:firstLine="0"/>
      <w:jc w:val="right"/>
    </w:pPr>
    <w:r>
      <w:fldChar w:fldCharType="begin"/>
    </w:r>
    <w:r>
      <w:instrText xml:space="preserve"> PAGE   \* MERGEFORMAT </w:instrText>
    </w:r>
    <w:r>
      <w:fldChar w:fldCharType="separate"/>
    </w:r>
    <w:r>
      <w:rPr>
        <w:sz w:val="22"/>
      </w:rPr>
      <w:t xml:space="preserve">1 </w:t>
    </w:r>
    <w:r>
      <w:rPr>
        <w:sz w:val="22"/>
      </w:rPr>
      <w:fldChar w:fldCharType="end"/>
    </w:r>
  </w:p>
  <w:p w14:paraId="516C144B" w14:textId="77777777" w:rsidR="006F1970" w:rsidRDefault="00FC17F1">
    <w:pPr>
      <w:spacing w:line="259" w:lineRule="auto"/>
      <w:ind w:left="1"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8410F" w14:textId="77777777" w:rsidR="00D26B64" w:rsidRDefault="00D26B64">
      <w:pPr>
        <w:spacing w:line="240" w:lineRule="auto"/>
      </w:pPr>
      <w:r>
        <w:separator/>
      </w:r>
    </w:p>
  </w:footnote>
  <w:footnote w:type="continuationSeparator" w:id="0">
    <w:p w14:paraId="62A71401" w14:textId="77777777" w:rsidR="00D26B64" w:rsidRDefault="00D26B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B353D"/>
    <w:multiLevelType w:val="hybridMultilevel"/>
    <w:tmpl w:val="63DC613C"/>
    <w:lvl w:ilvl="0" w:tplc="AD7E6DD4">
      <w:start w:val="1"/>
      <w:numFmt w:val="decimal"/>
      <w:pStyle w:val="berschrift1"/>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CC4AC198">
      <w:start w:val="1"/>
      <w:numFmt w:val="lowerLetter"/>
      <w:lvlText w:val="%2"/>
      <w:lvlJc w:val="left"/>
      <w:pPr>
        <w:ind w:left="14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7628C84">
      <w:start w:val="1"/>
      <w:numFmt w:val="lowerRoman"/>
      <w:lvlText w:val="%3"/>
      <w:lvlJc w:val="left"/>
      <w:pPr>
        <w:ind w:left="21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4406EC8E">
      <w:start w:val="1"/>
      <w:numFmt w:val="decimal"/>
      <w:lvlText w:val="%4"/>
      <w:lvlJc w:val="left"/>
      <w:pPr>
        <w:ind w:left="28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29C9844">
      <w:start w:val="1"/>
      <w:numFmt w:val="lowerLetter"/>
      <w:lvlText w:val="%5"/>
      <w:lvlJc w:val="left"/>
      <w:pPr>
        <w:ind w:left="36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0D3AE99A">
      <w:start w:val="1"/>
      <w:numFmt w:val="lowerRoman"/>
      <w:lvlText w:val="%6"/>
      <w:lvlJc w:val="left"/>
      <w:pPr>
        <w:ind w:left="43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6B2E5522">
      <w:start w:val="1"/>
      <w:numFmt w:val="decimal"/>
      <w:lvlText w:val="%7"/>
      <w:lvlJc w:val="left"/>
      <w:pPr>
        <w:ind w:left="50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703E56AE">
      <w:start w:val="1"/>
      <w:numFmt w:val="lowerLetter"/>
      <w:lvlText w:val="%8"/>
      <w:lvlJc w:val="left"/>
      <w:pPr>
        <w:ind w:left="57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390B1C0">
      <w:start w:val="1"/>
      <w:numFmt w:val="lowerRoman"/>
      <w:lvlText w:val="%9"/>
      <w:lvlJc w:val="left"/>
      <w:pPr>
        <w:ind w:left="64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S79jzJM0xL7GnRcEC0X1FCE/DBXGpxs3zcZJaJTCcoNe++VSe6jxAJ0kOHl4af451iLGf2hKTU5p6bMCYzjnBw==" w:salt="2iM+6JOs+2kf63xprp4ohQ=="/>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970"/>
    <w:rsid w:val="00307DDA"/>
    <w:rsid w:val="006F1970"/>
    <w:rsid w:val="0071257C"/>
    <w:rsid w:val="00D26B64"/>
    <w:rsid w:val="00D87D1B"/>
    <w:rsid w:val="00ED1B9A"/>
    <w:rsid w:val="00FC17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6C6DD4"/>
  <w15:docId w15:val="{BE1C2036-2DFA-4776-878A-475E2F90B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1" w:lineRule="auto"/>
      <w:ind w:left="11" w:hanging="10"/>
    </w:pPr>
    <w:rPr>
      <w:rFonts w:ascii="Calibri" w:eastAsia="Calibri" w:hAnsi="Calibri" w:cs="Calibri"/>
      <w:color w:val="000000"/>
      <w:sz w:val="20"/>
    </w:rPr>
  </w:style>
  <w:style w:type="paragraph" w:styleId="berschrift1">
    <w:name w:val="heading 1"/>
    <w:next w:val="Standard"/>
    <w:link w:val="berschrift1Zchn"/>
    <w:uiPriority w:val="9"/>
    <w:qFormat/>
    <w:pPr>
      <w:keepNext/>
      <w:keepLines/>
      <w:numPr>
        <w:numId w:val="1"/>
      </w:numPr>
      <w:spacing w:after="7" w:line="250" w:lineRule="auto"/>
      <w:ind w:left="371" w:hanging="10"/>
      <w:outlineLvl w:val="0"/>
    </w:pPr>
    <w:rPr>
      <w:rFonts w:ascii="Calibri" w:eastAsia="Calibri" w:hAnsi="Calibri" w:cs="Calibri"/>
      <w:b/>
      <w:color w:val="00000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6357</Characters>
  <Application>Microsoft Office Word</Application>
  <DocSecurity>0</DocSecurity>
  <Lines>52</Lines>
  <Paragraphs>14</Paragraphs>
  <ScaleCrop>false</ScaleCrop>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cp:lastModifiedBy>Müller, D.</cp:lastModifiedBy>
  <cp:revision>2</cp:revision>
  <dcterms:created xsi:type="dcterms:W3CDTF">2020-11-04T16:07:00Z</dcterms:created>
  <dcterms:modified xsi:type="dcterms:W3CDTF">2020-11-04T16:07:00Z</dcterms:modified>
</cp:coreProperties>
</file>